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589" w:rsidRPr="00DA56E9" w:rsidRDefault="00EA6589" w:rsidP="00EA6589">
      <w:pPr>
        <w:autoSpaceDE w:val="0"/>
        <w:autoSpaceDN w:val="0"/>
        <w:jc w:val="center"/>
        <w:rPr>
          <w:rFonts w:ascii="Arial" w:hAnsi="Arial" w:cs="Arial"/>
          <w:b/>
          <w:sz w:val="36"/>
          <w:szCs w:val="36"/>
        </w:rPr>
      </w:pPr>
      <w:r w:rsidRPr="00DA56E9">
        <w:rPr>
          <w:rFonts w:ascii="Arial" w:hAnsi="Arial" w:cs="Arial"/>
          <w:b/>
          <w:sz w:val="36"/>
          <w:szCs w:val="36"/>
          <w:u w:val="single"/>
        </w:rPr>
        <w:t>DC Water FOG Regulations</w:t>
      </w:r>
      <w:r w:rsidRPr="00DA56E9">
        <w:rPr>
          <w:rFonts w:ascii="Arial" w:hAnsi="Arial" w:cs="Arial"/>
          <w:b/>
          <w:sz w:val="36"/>
          <w:szCs w:val="36"/>
        </w:rPr>
        <w:t xml:space="preserve"> 12/12/18</w:t>
      </w:r>
    </w:p>
    <w:p w:rsidR="00DA56E9" w:rsidRDefault="00DA56E9" w:rsidP="00EA6589">
      <w:pPr>
        <w:autoSpaceDE w:val="0"/>
        <w:autoSpaceDN w:val="0"/>
        <w:jc w:val="both"/>
        <w:rPr>
          <w:u w:val="single"/>
        </w:rPr>
      </w:pPr>
    </w:p>
    <w:p w:rsidR="00DA56E9" w:rsidRDefault="00DA56E9" w:rsidP="00EA6589">
      <w:pPr>
        <w:autoSpaceDE w:val="0"/>
        <w:autoSpaceDN w:val="0"/>
        <w:jc w:val="both"/>
        <w:rPr>
          <w:u w:val="single"/>
        </w:rPr>
      </w:pPr>
    </w:p>
    <w:p w:rsidR="00EA6589" w:rsidRPr="001472E3" w:rsidRDefault="00EA6589" w:rsidP="00EA6589">
      <w:pPr>
        <w:autoSpaceDE w:val="0"/>
        <w:autoSpaceDN w:val="0"/>
        <w:jc w:val="both"/>
        <w:rPr>
          <w:b/>
        </w:rPr>
      </w:pPr>
      <w:r w:rsidRPr="001472E3">
        <w:rPr>
          <w:b/>
          <w:u w:val="single"/>
        </w:rPr>
        <w:t>21 DCMR Chapter 15</w:t>
      </w:r>
    </w:p>
    <w:p w:rsidR="00EA6589" w:rsidRPr="001472E3" w:rsidRDefault="00EA6589" w:rsidP="00EA6589">
      <w:pPr>
        <w:rPr>
          <w:b/>
        </w:rPr>
      </w:pPr>
      <w:r w:rsidRPr="001472E3">
        <w:rPr>
          <w:rFonts w:ascii="Calibri" w:hAnsi="Calibri"/>
          <w:b/>
          <w:color w:val="auto"/>
        </w:rPr>
        <w:t> </w:t>
      </w:r>
    </w:p>
    <w:p w:rsidR="00EA6589" w:rsidRPr="001472E3" w:rsidRDefault="00EA6589" w:rsidP="00EA6589">
      <w:pPr>
        <w:numPr>
          <w:ilvl w:val="1"/>
          <w:numId w:val="1"/>
        </w:numPr>
        <w:autoSpaceDE w:val="0"/>
        <w:autoSpaceDN w:val="0"/>
        <w:ind w:left="1440" w:hanging="1440"/>
        <w:jc w:val="both"/>
        <w:rPr>
          <w:b/>
        </w:rPr>
      </w:pPr>
      <w:r w:rsidRPr="001472E3">
        <w:rPr>
          <w:b/>
          <w:u w:val="single"/>
        </w:rPr>
        <w:t>Specific Prohibitions</w:t>
      </w:r>
      <w:r w:rsidRPr="001472E3">
        <w:rPr>
          <w:b/>
        </w:rPr>
        <w:t>: No User shall introduce the following pollutants into the District’s wastewater system:</w:t>
      </w:r>
    </w:p>
    <w:p w:rsidR="00EA6589" w:rsidRPr="001472E3" w:rsidRDefault="00EA6589" w:rsidP="00EA6589">
      <w:pPr>
        <w:autoSpaceDE w:val="0"/>
        <w:autoSpaceDN w:val="0"/>
        <w:ind w:left="2160" w:hanging="720"/>
        <w:jc w:val="both"/>
        <w:rPr>
          <w:b/>
        </w:rPr>
      </w:pPr>
      <w:r w:rsidRPr="001472E3">
        <w:rPr>
          <w:b/>
        </w:rPr>
        <w:t> </w:t>
      </w:r>
    </w:p>
    <w:p w:rsidR="00EA6589" w:rsidRPr="001472E3" w:rsidRDefault="00EA6589" w:rsidP="00EA6589">
      <w:pPr>
        <w:autoSpaceDE w:val="0"/>
        <w:autoSpaceDN w:val="0"/>
        <w:ind w:left="2160" w:hanging="720"/>
        <w:jc w:val="both"/>
        <w:rPr>
          <w:b/>
        </w:rPr>
      </w:pPr>
      <w:r w:rsidRPr="001472E3">
        <w:rPr>
          <w:b/>
        </w:rPr>
        <w:t xml:space="preserve">(c)        Solid or viscous substances in amounts which may cause, or contribute to obstruction of the flow in a sewer or otherwise interfere with the operation of the District’s wastewater system, including, but not limited to: </w:t>
      </w:r>
    </w:p>
    <w:p w:rsidR="00EA6589" w:rsidRPr="001472E3" w:rsidRDefault="00EA6589" w:rsidP="00EA6589">
      <w:pPr>
        <w:autoSpaceDE w:val="0"/>
        <w:autoSpaceDN w:val="0"/>
        <w:ind w:left="2160" w:hanging="720"/>
        <w:jc w:val="both"/>
        <w:rPr>
          <w:b/>
        </w:rPr>
      </w:pPr>
      <w:r w:rsidRPr="001472E3">
        <w:rPr>
          <w:b/>
        </w:rPr>
        <w:t> </w:t>
      </w:r>
    </w:p>
    <w:p w:rsidR="00EA6589" w:rsidRPr="001472E3" w:rsidRDefault="00EA6589" w:rsidP="00EA6589">
      <w:pPr>
        <w:numPr>
          <w:ilvl w:val="0"/>
          <w:numId w:val="2"/>
        </w:numPr>
        <w:autoSpaceDE w:val="0"/>
        <w:autoSpaceDN w:val="0"/>
        <w:ind w:left="2880" w:hanging="720"/>
        <w:jc w:val="both"/>
        <w:rPr>
          <w:b/>
        </w:rPr>
      </w:pPr>
      <w:r w:rsidRPr="001472E3">
        <w:rPr>
          <w:b/>
        </w:rPr>
        <w:t>Substances which may solidify or become viscous at temperatures above thirty-two degrees Fahrenheit (32° F) or zero degrees Centigrade (0° C);</w:t>
      </w:r>
    </w:p>
    <w:p w:rsidR="00EA6589" w:rsidRPr="001472E3" w:rsidRDefault="00EA6589" w:rsidP="00EA6589">
      <w:pPr>
        <w:autoSpaceDE w:val="0"/>
        <w:autoSpaceDN w:val="0"/>
        <w:ind w:left="2880"/>
        <w:jc w:val="both"/>
        <w:rPr>
          <w:b/>
        </w:rPr>
      </w:pPr>
      <w:r w:rsidRPr="001472E3">
        <w:rPr>
          <w:b/>
        </w:rPr>
        <w:t> </w:t>
      </w:r>
    </w:p>
    <w:p w:rsidR="00EA6589" w:rsidRPr="001472E3" w:rsidRDefault="00EA6589" w:rsidP="00EA6589">
      <w:pPr>
        <w:numPr>
          <w:ilvl w:val="0"/>
          <w:numId w:val="2"/>
        </w:numPr>
        <w:autoSpaceDE w:val="0"/>
        <w:autoSpaceDN w:val="0"/>
        <w:ind w:left="2880" w:hanging="720"/>
        <w:jc w:val="both"/>
        <w:rPr>
          <w:b/>
        </w:rPr>
      </w:pPr>
      <w:r w:rsidRPr="001472E3">
        <w:rPr>
          <w:b/>
        </w:rPr>
        <w:t>Solids having any linear dimensions greater than one inch (1 in.);</w:t>
      </w:r>
    </w:p>
    <w:p w:rsidR="00EA6589" w:rsidRPr="001472E3" w:rsidRDefault="00EA6589" w:rsidP="00EA6589">
      <w:pPr>
        <w:autoSpaceDE w:val="0"/>
        <w:autoSpaceDN w:val="0"/>
        <w:ind w:left="2880"/>
        <w:jc w:val="both"/>
        <w:rPr>
          <w:b/>
        </w:rPr>
      </w:pPr>
      <w:r w:rsidRPr="001472E3">
        <w:rPr>
          <w:b/>
        </w:rPr>
        <w:t> </w:t>
      </w:r>
    </w:p>
    <w:p w:rsidR="00EA6589" w:rsidRPr="001472E3" w:rsidRDefault="00EA6589" w:rsidP="00EA6589">
      <w:pPr>
        <w:numPr>
          <w:ilvl w:val="0"/>
          <w:numId w:val="2"/>
        </w:numPr>
        <w:autoSpaceDE w:val="0"/>
        <w:autoSpaceDN w:val="0"/>
        <w:ind w:left="2880" w:hanging="720"/>
        <w:jc w:val="both"/>
        <w:rPr>
          <w:b/>
        </w:rPr>
      </w:pPr>
      <w:r w:rsidRPr="001472E3">
        <w:rPr>
          <w:b/>
        </w:rPr>
        <w:t>Fats, oils, and grease;</w:t>
      </w:r>
    </w:p>
    <w:p w:rsidR="00EA6589" w:rsidRPr="001472E3" w:rsidRDefault="00EA6589" w:rsidP="00EA6589">
      <w:pPr>
        <w:rPr>
          <w:b/>
        </w:rPr>
      </w:pPr>
      <w:r w:rsidRPr="001472E3">
        <w:rPr>
          <w:b/>
          <w:color w:val="auto"/>
        </w:rPr>
        <w:t> </w:t>
      </w:r>
    </w:p>
    <w:p w:rsidR="00EA6589" w:rsidRPr="001472E3" w:rsidRDefault="00EA6589" w:rsidP="00EA6589">
      <w:pPr>
        <w:autoSpaceDE w:val="0"/>
        <w:autoSpaceDN w:val="0"/>
        <w:ind w:left="2160" w:hanging="720"/>
        <w:jc w:val="both"/>
        <w:rPr>
          <w:b/>
        </w:rPr>
      </w:pPr>
      <w:r w:rsidRPr="001472E3">
        <w:rPr>
          <w:b/>
        </w:rPr>
        <w:t>(k)        Unless WASA specifically authorizes any substance including, but not limited to:</w:t>
      </w:r>
    </w:p>
    <w:p w:rsidR="00EA6589" w:rsidRPr="001472E3" w:rsidRDefault="00EA6589" w:rsidP="00EA6589">
      <w:pPr>
        <w:autoSpaceDE w:val="0"/>
        <w:autoSpaceDN w:val="0"/>
        <w:ind w:left="2160" w:hanging="720"/>
        <w:jc w:val="both"/>
        <w:rPr>
          <w:b/>
        </w:rPr>
      </w:pPr>
      <w:r w:rsidRPr="001472E3">
        <w:rPr>
          <w:b/>
        </w:rPr>
        <w:t xml:space="preserve">           </w:t>
      </w:r>
    </w:p>
    <w:p w:rsidR="00EA6589" w:rsidRPr="001472E3" w:rsidRDefault="00EA6589" w:rsidP="00EA6589">
      <w:pPr>
        <w:numPr>
          <w:ilvl w:val="0"/>
          <w:numId w:val="3"/>
        </w:numPr>
        <w:autoSpaceDE w:val="0"/>
        <w:autoSpaceDN w:val="0"/>
        <w:ind w:left="2880" w:hanging="720"/>
        <w:jc w:val="both"/>
        <w:rPr>
          <w:b/>
        </w:rPr>
      </w:pPr>
      <w:r w:rsidRPr="001472E3">
        <w:rPr>
          <w:b/>
        </w:rPr>
        <w:t>Restaurant grease;</w:t>
      </w:r>
    </w:p>
    <w:p w:rsidR="00EA6589" w:rsidRPr="001472E3" w:rsidRDefault="00EA6589" w:rsidP="00EA6589">
      <w:pPr>
        <w:rPr>
          <w:b/>
        </w:rPr>
      </w:pPr>
      <w:r w:rsidRPr="001472E3">
        <w:rPr>
          <w:b/>
          <w:color w:val="auto"/>
        </w:rPr>
        <w:t> </w:t>
      </w:r>
    </w:p>
    <w:p w:rsidR="00EA6589" w:rsidRPr="001472E3" w:rsidRDefault="00EA6589" w:rsidP="00EA6589">
      <w:pPr>
        <w:rPr>
          <w:b/>
        </w:rPr>
      </w:pPr>
      <w:r w:rsidRPr="001472E3">
        <w:rPr>
          <w:b/>
        </w:rPr>
        <w:t> </w:t>
      </w:r>
    </w:p>
    <w:p w:rsidR="00EA6589" w:rsidRPr="001472E3" w:rsidRDefault="00EA6589" w:rsidP="00EA6589">
      <w:pPr>
        <w:numPr>
          <w:ilvl w:val="1"/>
          <w:numId w:val="4"/>
        </w:numPr>
        <w:jc w:val="both"/>
        <w:rPr>
          <w:b/>
        </w:rPr>
      </w:pPr>
      <w:r w:rsidRPr="001472E3">
        <w:rPr>
          <w:b/>
        </w:rPr>
        <w:t>Industrial Users including, but not limited to, restaurants, cafeterias, hotel kitchens, church kitchens, school kitchens, hospital cafeterias, bars, or other facilities that have the potential to discharge oil or grease laden wastewater shall provide and maintain a grease abatement system for the proper handling of wastewater containing excessive amounts of oil and grease in accordance with the District of Columbia Plumbing Code or as WASA requires.</w:t>
      </w:r>
    </w:p>
    <w:p w:rsidR="00EA6589" w:rsidRPr="001472E3" w:rsidRDefault="00EA6589" w:rsidP="00DA56E9">
      <w:pPr>
        <w:jc w:val="both"/>
        <w:rPr>
          <w:b/>
        </w:rPr>
      </w:pPr>
    </w:p>
    <w:p w:rsidR="00EA6589" w:rsidRPr="001472E3" w:rsidRDefault="00EA6589" w:rsidP="00EA6589">
      <w:pPr>
        <w:numPr>
          <w:ilvl w:val="1"/>
          <w:numId w:val="5"/>
        </w:numPr>
        <w:jc w:val="both"/>
        <w:rPr>
          <w:b/>
        </w:rPr>
      </w:pPr>
      <w:r w:rsidRPr="001472E3">
        <w:rPr>
          <w:b/>
        </w:rPr>
        <w:t>Industrial Users that have the potential of discharging grease, oil, or sand laden wastewater into the District’s wastewater system shall comply with the following requirements:</w:t>
      </w:r>
    </w:p>
    <w:p w:rsidR="00EA6589" w:rsidRPr="001472E3" w:rsidRDefault="00EA6589" w:rsidP="00EA6589">
      <w:pPr>
        <w:rPr>
          <w:b/>
        </w:rPr>
      </w:pPr>
      <w:r w:rsidRPr="001472E3">
        <w:rPr>
          <w:b/>
        </w:rPr>
        <w:t> </w:t>
      </w:r>
    </w:p>
    <w:p w:rsidR="00EA6589" w:rsidRPr="001472E3" w:rsidRDefault="00EA6589" w:rsidP="00EA6589">
      <w:pPr>
        <w:numPr>
          <w:ilvl w:val="1"/>
          <w:numId w:val="6"/>
        </w:numPr>
        <w:ind w:left="2160" w:hanging="720"/>
        <w:jc w:val="both"/>
        <w:rPr>
          <w:b/>
        </w:rPr>
      </w:pPr>
      <w:r w:rsidRPr="001472E3">
        <w:rPr>
          <w:b/>
        </w:rPr>
        <w:t>Implement appropriate best management practices for minimizing the discharge of grease, oil, or sand laden wastewater into the sewer system;</w:t>
      </w:r>
    </w:p>
    <w:p w:rsidR="00EA6589" w:rsidRPr="001472E3" w:rsidRDefault="00EA6589" w:rsidP="00EA6589">
      <w:pPr>
        <w:ind w:left="2160"/>
        <w:jc w:val="both"/>
        <w:rPr>
          <w:b/>
        </w:rPr>
      </w:pPr>
      <w:r w:rsidRPr="001472E3">
        <w:rPr>
          <w:b/>
        </w:rPr>
        <w:t> </w:t>
      </w:r>
    </w:p>
    <w:p w:rsidR="00EA6589" w:rsidRPr="001472E3" w:rsidRDefault="00EA6589" w:rsidP="00EA6589">
      <w:pPr>
        <w:numPr>
          <w:ilvl w:val="1"/>
          <w:numId w:val="6"/>
        </w:numPr>
        <w:ind w:left="2160" w:hanging="720"/>
        <w:jc w:val="both"/>
        <w:rPr>
          <w:b/>
        </w:rPr>
      </w:pPr>
      <w:r w:rsidRPr="001472E3">
        <w:rPr>
          <w:b/>
        </w:rPr>
        <w:t>All grease abatement systems and interceptors shall comply with the currently approved District of Columbia Plumbing Code requirements and shall be easily accessible for cleaning and inspection;</w:t>
      </w:r>
    </w:p>
    <w:p w:rsidR="00EA6589" w:rsidRPr="001472E3" w:rsidRDefault="00EA6589" w:rsidP="00EA6589">
      <w:pPr>
        <w:ind w:left="2340"/>
        <w:rPr>
          <w:b/>
        </w:rPr>
      </w:pPr>
      <w:r w:rsidRPr="001472E3">
        <w:rPr>
          <w:b/>
        </w:rPr>
        <w:t> </w:t>
      </w:r>
    </w:p>
    <w:p w:rsidR="00EA6589" w:rsidRPr="001472E3" w:rsidRDefault="00EA6589" w:rsidP="00EA6589">
      <w:pPr>
        <w:numPr>
          <w:ilvl w:val="1"/>
          <w:numId w:val="6"/>
        </w:numPr>
        <w:ind w:left="2160" w:hanging="720"/>
        <w:jc w:val="both"/>
        <w:rPr>
          <w:b/>
        </w:rPr>
      </w:pPr>
      <w:r w:rsidRPr="001472E3">
        <w:rPr>
          <w:b/>
        </w:rPr>
        <w:t xml:space="preserve">Grease abatement systems and interceptors shall be maintained and inspected regularly and repaired as needed by the Industrial User at their expense;  </w:t>
      </w:r>
    </w:p>
    <w:p w:rsidR="00EA6589" w:rsidRPr="001472E3" w:rsidRDefault="00EA6589" w:rsidP="00EA6589">
      <w:pPr>
        <w:ind w:left="2160" w:hanging="720"/>
        <w:rPr>
          <w:b/>
        </w:rPr>
      </w:pPr>
      <w:r w:rsidRPr="001472E3">
        <w:rPr>
          <w:b/>
        </w:rPr>
        <w:t> </w:t>
      </w:r>
    </w:p>
    <w:p w:rsidR="00EA6589" w:rsidRPr="001472E3" w:rsidRDefault="00EA6589" w:rsidP="00EA6589">
      <w:pPr>
        <w:numPr>
          <w:ilvl w:val="1"/>
          <w:numId w:val="6"/>
        </w:numPr>
        <w:ind w:left="2160" w:hanging="720"/>
        <w:jc w:val="both"/>
        <w:rPr>
          <w:b/>
        </w:rPr>
      </w:pPr>
      <w:r w:rsidRPr="001472E3">
        <w:rPr>
          <w:b/>
        </w:rPr>
        <w:t>Grease, oil, and settled solids shall be removed from such grease abatement systems and interceptors at a frequency necessary to ensure proper operation and to prevent pass-through of these materials into the District’s wastewater system;</w:t>
      </w:r>
    </w:p>
    <w:p w:rsidR="00EA6589" w:rsidRPr="001472E3" w:rsidRDefault="00EA6589" w:rsidP="00EA6589">
      <w:pPr>
        <w:pStyle w:val="ListParagraph"/>
        <w:rPr>
          <w:b/>
        </w:rPr>
      </w:pPr>
      <w:r w:rsidRPr="001472E3">
        <w:rPr>
          <w:b/>
        </w:rPr>
        <w:t> </w:t>
      </w:r>
    </w:p>
    <w:p w:rsidR="00EA6589" w:rsidRPr="001472E3" w:rsidRDefault="00EA6589" w:rsidP="00EA6589">
      <w:pPr>
        <w:numPr>
          <w:ilvl w:val="1"/>
          <w:numId w:val="6"/>
        </w:numPr>
        <w:ind w:left="2160" w:hanging="720"/>
        <w:jc w:val="both"/>
        <w:rPr>
          <w:b/>
        </w:rPr>
      </w:pPr>
      <w:r w:rsidRPr="001472E3">
        <w:rPr>
          <w:b/>
        </w:rPr>
        <w:t>Cleaning frequency shall not exceed thirty (30) days for an indoor grease abatement system and ninety (90) days for an outdoor grease abatement system, unless granted a written variance by WASA for those Industrial Users identified in §1502.16.  A written variance may be issued if the Industrial User can satisfactorily demonstrate that the accumulation of grease, oils, and solids does not exceed twenty-five percent (25%) of the liquid retention capacity of the grease abatement system during the Industrial User’s proposed cleaning frequency.  The entire contents of the grease abatement system shall be pumped out and properly disposed of to allow for thorough cleaning of the grease abatement system.  All costs for removal of material or cleaning of the grease abatement system shall be at the Industrial User’s expense; and</w:t>
      </w:r>
    </w:p>
    <w:p w:rsidR="00EA6589" w:rsidRPr="001472E3" w:rsidRDefault="00EA6589" w:rsidP="00EA6589">
      <w:pPr>
        <w:ind w:left="2160" w:hanging="720"/>
        <w:rPr>
          <w:b/>
        </w:rPr>
      </w:pPr>
      <w:r w:rsidRPr="001472E3">
        <w:rPr>
          <w:b/>
        </w:rPr>
        <w:t> </w:t>
      </w:r>
    </w:p>
    <w:p w:rsidR="00EA6589" w:rsidRDefault="00EA6589" w:rsidP="00EA6589">
      <w:pPr>
        <w:numPr>
          <w:ilvl w:val="1"/>
          <w:numId w:val="6"/>
        </w:numPr>
        <w:ind w:left="2160" w:hanging="720"/>
        <w:jc w:val="both"/>
      </w:pPr>
      <w:r w:rsidRPr="001472E3">
        <w:rPr>
          <w:b/>
        </w:rPr>
        <w:t xml:space="preserve">Documentation of the most recent cleaning of the grease abatement system or interceptor shall be retained on site and shall include, at a minimum, the date cleaned, the company or person performing the cleaning, the volume of material removed, and </w:t>
      </w:r>
      <w:bookmarkStart w:id="0" w:name="_GoBack"/>
      <w:bookmarkEnd w:id="0"/>
      <w:r w:rsidRPr="001472E3">
        <w:rPr>
          <w:b/>
        </w:rPr>
        <w:t>the method and location of disposal.  Cleaning records shall be retained for a period of at least three (3) years</w:t>
      </w:r>
      <w:r>
        <w:t>.</w:t>
      </w:r>
    </w:p>
    <w:p w:rsidR="00EA6589" w:rsidRDefault="00EA6589" w:rsidP="00EA6589">
      <w:pPr>
        <w:autoSpaceDE w:val="0"/>
        <w:autoSpaceDN w:val="0"/>
        <w:ind w:left="1440" w:hanging="1440"/>
        <w:jc w:val="both"/>
      </w:pPr>
      <w:r>
        <w:t> </w:t>
      </w:r>
    </w:p>
    <w:p w:rsidR="00EA6589" w:rsidRDefault="00EA6589" w:rsidP="00EA6589">
      <w:r>
        <w:rPr>
          <w:rFonts w:ascii="Calibri" w:hAnsi="Calibri"/>
          <w:color w:val="auto"/>
          <w:sz w:val="22"/>
          <w:szCs w:val="22"/>
        </w:rPr>
        <w:t> </w:t>
      </w:r>
    </w:p>
    <w:p w:rsidR="00EA6589" w:rsidRDefault="00EA6589" w:rsidP="00EA6589">
      <w:r>
        <w:rPr>
          <w:rFonts w:ascii="Calibri" w:hAnsi="Calibri"/>
          <w:color w:val="auto"/>
          <w:sz w:val="22"/>
          <w:szCs w:val="22"/>
        </w:rPr>
        <w:t> </w:t>
      </w:r>
    </w:p>
    <w:p w:rsidR="00F330D3" w:rsidRDefault="001472E3"/>
    <w:sectPr w:rsidR="00F330D3" w:rsidSect="008220E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44B"/>
    <w:multiLevelType w:val="multilevel"/>
    <w:tmpl w:val="1F0A29B8"/>
    <w:lvl w:ilvl="0">
      <w:start w:val="1"/>
      <w:numFmt w:val="decimal"/>
      <w:lvlText w:val="1502.%1"/>
      <w:lvlJc w:val="left"/>
      <w:pPr>
        <w:tabs>
          <w:tab w:val="num" w:pos="1440"/>
        </w:tabs>
        <w:ind w:left="1440" w:hanging="1440"/>
      </w:pPr>
    </w:lvl>
    <w:lvl w:ilvl="1">
      <w:start w:val="18"/>
      <w:numFmt w:val="decimal"/>
      <w:lvlText w:val="1502.%2"/>
      <w:lvlJc w:val="left"/>
      <w:pPr>
        <w:tabs>
          <w:tab w:val="num" w:pos="1440"/>
        </w:tabs>
        <w:ind w:left="1440" w:hanging="1440"/>
      </w:pPr>
      <w:rPr>
        <w:sz w:val="24"/>
        <w:szCs w:val="24"/>
      </w:rPr>
    </w:lvl>
    <w:lvl w:ilvl="2">
      <w:start w:val="1"/>
      <w:numFmt w:val="decimal"/>
      <w:lvlText w:val="%1.%2"/>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D65940"/>
    <w:multiLevelType w:val="multilevel"/>
    <w:tmpl w:val="9022E870"/>
    <w:lvl w:ilvl="0">
      <w:start w:val="1501"/>
      <w:numFmt w:val="decimal"/>
      <w:lvlText w:val="%1"/>
      <w:lvlJc w:val="left"/>
      <w:pPr>
        <w:tabs>
          <w:tab w:val="num" w:pos="360"/>
        </w:tabs>
        <w:ind w:left="360" w:hanging="360"/>
      </w:pPr>
      <w:rPr>
        <w:color w:val="000000"/>
        <w:sz w:val="24"/>
      </w:rPr>
    </w:lvl>
    <w:lvl w:ilvl="1">
      <w:start w:val="1"/>
      <w:numFmt w:val="decimal"/>
      <w:lvlText w:val="%1.%2"/>
      <w:lvlJc w:val="left"/>
      <w:pPr>
        <w:tabs>
          <w:tab w:val="num" w:pos="360"/>
        </w:tabs>
        <w:ind w:left="360" w:hanging="360"/>
      </w:pPr>
      <w:rPr>
        <w:color w:val="000000"/>
        <w:sz w:val="24"/>
      </w:rPr>
    </w:lvl>
    <w:lvl w:ilvl="2">
      <w:start w:val="1"/>
      <w:numFmt w:val="decimal"/>
      <w:lvlText w:val="%1.%2.%3"/>
      <w:lvlJc w:val="left"/>
      <w:pPr>
        <w:tabs>
          <w:tab w:val="num" w:pos="720"/>
        </w:tabs>
        <w:ind w:left="720" w:hanging="720"/>
      </w:pPr>
      <w:rPr>
        <w:color w:val="000000"/>
        <w:sz w:val="24"/>
      </w:rPr>
    </w:lvl>
    <w:lvl w:ilvl="3">
      <w:start w:val="1"/>
      <w:numFmt w:val="decimal"/>
      <w:lvlText w:val="%1.%2.%3.%4"/>
      <w:lvlJc w:val="left"/>
      <w:pPr>
        <w:tabs>
          <w:tab w:val="num" w:pos="720"/>
        </w:tabs>
        <w:ind w:left="720" w:hanging="720"/>
      </w:pPr>
      <w:rPr>
        <w:color w:val="000000"/>
        <w:sz w:val="24"/>
      </w:rPr>
    </w:lvl>
    <w:lvl w:ilvl="4">
      <w:start w:val="1"/>
      <w:numFmt w:val="decimal"/>
      <w:lvlText w:val="%1.%2.%3.%4.%5"/>
      <w:lvlJc w:val="left"/>
      <w:pPr>
        <w:tabs>
          <w:tab w:val="num" w:pos="720"/>
        </w:tabs>
        <w:ind w:left="720" w:hanging="720"/>
      </w:pPr>
      <w:rPr>
        <w:color w:val="000000"/>
        <w:sz w:val="24"/>
      </w:rPr>
    </w:lvl>
    <w:lvl w:ilvl="5">
      <w:start w:val="1"/>
      <w:numFmt w:val="decimal"/>
      <w:lvlText w:val="%1.%2.%3.%4.%5.%6"/>
      <w:lvlJc w:val="left"/>
      <w:pPr>
        <w:tabs>
          <w:tab w:val="num" w:pos="1080"/>
        </w:tabs>
        <w:ind w:left="1080" w:hanging="1080"/>
      </w:pPr>
      <w:rPr>
        <w:color w:val="000000"/>
        <w:sz w:val="24"/>
      </w:rPr>
    </w:lvl>
    <w:lvl w:ilvl="6">
      <w:start w:val="1"/>
      <w:numFmt w:val="decimal"/>
      <w:lvlText w:val="%1.%2.%3.%4.%5.%6.%7"/>
      <w:lvlJc w:val="left"/>
      <w:pPr>
        <w:tabs>
          <w:tab w:val="num" w:pos="1080"/>
        </w:tabs>
        <w:ind w:left="1080" w:hanging="1080"/>
      </w:pPr>
      <w:rPr>
        <w:color w:val="000000"/>
        <w:sz w:val="24"/>
      </w:rPr>
    </w:lvl>
    <w:lvl w:ilvl="7">
      <w:start w:val="1"/>
      <w:numFmt w:val="decimal"/>
      <w:lvlText w:val="%1.%2.%3.%4.%5.%6.%7.%8"/>
      <w:lvlJc w:val="left"/>
      <w:pPr>
        <w:tabs>
          <w:tab w:val="num" w:pos="1440"/>
        </w:tabs>
        <w:ind w:left="1440" w:hanging="1440"/>
      </w:pPr>
      <w:rPr>
        <w:color w:val="000000"/>
        <w:sz w:val="24"/>
      </w:rPr>
    </w:lvl>
    <w:lvl w:ilvl="8">
      <w:start w:val="1"/>
      <w:numFmt w:val="decimal"/>
      <w:lvlText w:val="%1.%2.%3.%4.%5.%6.%7.%8.%9"/>
      <w:lvlJc w:val="left"/>
      <w:pPr>
        <w:tabs>
          <w:tab w:val="num" w:pos="1440"/>
        </w:tabs>
        <w:ind w:left="1440" w:hanging="1440"/>
      </w:pPr>
      <w:rPr>
        <w:color w:val="000000"/>
        <w:sz w:val="24"/>
      </w:rPr>
    </w:lvl>
  </w:abstractNum>
  <w:abstractNum w:abstractNumId="2" w15:restartNumberingAfterBreak="0">
    <w:nsid w:val="3055568D"/>
    <w:multiLevelType w:val="hybridMultilevel"/>
    <w:tmpl w:val="FBDE0B30"/>
    <w:lvl w:ilvl="0" w:tplc="1E3AEF6E">
      <w:start w:val="1"/>
      <w:numFmt w:val="lowerLetter"/>
      <w:lvlText w:val="(%1)"/>
      <w:lvlJc w:val="left"/>
      <w:pPr>
        <w:tabs>
          <w:tab w:val="num" w:pos="1800"/>
        </w:tabs>
        <w:ind w:left="1800" w:hanging="360"/>
      </w:pPr>
    </w:lvl>
    <w:lvl w:ilvl="1" w:tplc="789A1D58">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3" w15:restartNumberingAfterBreak="0">
    <w:nsid w:val="50BE3D8A"/>
    <w:multiLevelType w:val="multilevel"/>
    <w:tmpl w:val="2DCEAA28"/>
    <w:lvl w:ilvl="0">
      <w:start w:val="1"/>
      <w:numFmt w:val="decimal"/>
      <w:lvlText w:val="1502.%1"/>
      <w:lvlJc w:val="left"/>
      <w:pPr>
        <w:tabs>
          <w:tab w:val="num" w:pos="1440"/>
        </w:tabs>
        <w:ind w:left="1440" w:hanging="1440"/>
      </w:pPr>
    </w:lvl>
    <w:lvl w:ilvl="1">
      <w:start w:val="16"/>
      <w:numFmt w:val="decimal"/>
      <w:lvlText w:val="1502.%2"/>
      <w:lvlJc w:val="left"/>
      <w:pPr>
        <w:tabs>
          <w:tab w:val="num" w:pos="1440"/>
        </w:tabs>
        <w:ind w:left="1440" w:hanging="1440"/>
      </w:pPr>
      <w:rPr>
        <w:sz w:val="24"/>
        <w:szCs w:val="24"/>
      </w:rPr>
    </w:lvl>
    <w:lvl w:ilvl="2">
      <w:start w:val="1"/>
      <w:numFmt w:val="decimal"/>
      <w:lvlText w:val="%1.%2"/>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6A994AC9"/>
    <w:multiLevelType w:val="hybridMultilevel"/>
    <w:tmpl w:val="A7C0DD02"/>
    <w:lvl w:ilvl="0" w:tplc="3B6C2B48">
      <w:start w:val="2"/>
      <w:numFmt w:val="decimal"/>
      <w:lvlText w:val="(%1)"/>
      <w:lvlJc w:val="left"/>
      <w:pPr>
        <w:ind w:left="25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4A242F7"/>
    <w:multiLevelType w:val="hybridMultilevel"/>
    <w:tmpl w:val="0158D4FA"/>
    <w:lvl w:ilvl="0" w:tplc="E454F378">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1"/>
    <w:lvlOverride w:ilvl="0">
      <w:startOverride w:val="15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89"/>
    <w:rsid w:val="001472E3"/>
    <w:rsid w:val="002B5E2E"/>
    <w:rsid w:val="00387EB8"/>
    <w:rsid w:val="00750317"/>
    <w:rsid w:val="008220E0"/>
    <w:rsid w:val="00D10ED5"/>
    <w:rsid w:val="00DA56E9"/>
    <w:rsid w:val="00EA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50DC"/>
  <w15:chartTrackingRefBased/>
  <w15:docId w15:val="{1BEDE25F-7C1F-4DED-AC2B-0984DD04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589"/>
    <w:pPr>
      <w:spacing w:after="0" w:line="240" w:lineRule="auto"/>
    </w:pPr>
    <w:rPr>
      <w:rFonts w:ascii="Garamond" w:hAnsi="Garamond"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589"/>
    <w:pPr>
      <w:ind w:left="720"/>
      <w:contextualSpacing/>
    </w:pPr>
    <w:rPr>
      <w:rFonts w:ascii="Times New Roman" w:hAnsi="Times New Roman" w:cs="Times New Roman"/>
      <w:color w:val="auto"/>
    </w:rPr>
  </w:style>
  <w:style w:type="paragraph" w:styleId="BalloonText">
    <w:name w:val="Balloon Text"/>
    <w:basedOn w:val="Normal"/>
    <w:link w:val="BalloonTextChar"/>
    <w:uiPriority w:val="99"/>
    <w:semiHidden/>
    <w:unhideWhenUsed/>
    <w:rsid w:val="00822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0E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Risher</dc:creator>
  <cp:keywords/>
  <dc:description/>
  <cp:lastModifiedBy>Adam Risher</cp:lastModifiedBy>
  <cp:revision>4</cp:revision>
  <cp:lastPrinted>2018-12-12T16:30:00Z</cp:lastPrinted>
  <dcterms:created xsi:type="dcterms:W3CDTF">2018-12-12T16:17:00Z</dcterms:created>
  <dcterms:modified xsi:type="dcterms:W3CDTF">2018-12-12T16:30:00Z</dcterms:modified>
</cp:coreProperties>
</file>